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29" w:rsidRPr="0072511D" w:rsidRDefault="00436A29" w:rsidP="00436A29">
      <w:pPr>
        <w:spacing w:line="520" w:lineRule="exact"/>
        <w:jc w:val="center"/>
        <w:rPr>
          <w:rFonts w:eastAsia="仿宋" w:hint="eastAsia"/>
        </w:rPr>
      </w:pPr>
    </w:p>
    <w:p w:rsidR="00436A29" w:rsidRDefault="00436A29" w:rsidP="00436A29">
      <w:pPr>
        <w:spacing w:line="520" w:lineRule="exact"/>
        <w:jc w:val="center"/>
        <w:rPr>
          <w:rFonts w:eastAsia="仿宋" w:hint="eastAsia"/>
        </w:rPr>
      </w:pPr>
    </w:p>
    <w:p w:rsidR="00436A29" w:rsidRPr="0072511D" w:rsidRDefault="00436A29" w:rsidP="00436A29">
      <w:pPr>
        <w:spacing w:line="520" w:lineRule="exact"/>
        <w:jc w:val="center"/>
        <w:rPr>
          <w:rFonts w:eastAsia="仿宋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.5pt;margin-top:28.5pt;width:408pt;height:67.9pt;z-index:251660288" fillcolor="red" stroked="f">
            <v:fill color2="#f93"/>
            <v:shadow color="silver" opacity="52429f"/>
            <v:textpath style="font-family:&quot;方正小标宋简体&quot;;font-weight:bold;v-text-align:letter-justify;v-text-kern:t" trim="t" fitpath="t" string="南召县人民法院"/>
            <w10:wrap type="square"/>
          </v:shape>
        </w:pict>
      </w:r>
    </w:p>
    <w:p w:rsidR="00436A29" w:rsidRPr="0072511D" w:rsidRDefault="00436A29" w:rsidP="00436A29">
      <w:pPr>
        <w:spacing w:line="520" w:lineRule="exact"/>
        <w:jc w:val="center"/>
        <w:rPr>
          <w:rFonts w:eastAsia="仿宋"/>
        </w:rPr>
      </w:pPr>
    </w:p>
    <w:p w:rsidR="00436A29" w:rsidRPr="0072511D" w:rsidRDefault="00436A29" w:rsidP="00436A29">
      <w:pPr>
        <w:spacing w:line="480" w:lineRule="exact"/>
        <w:jc w:val="center"/>
        <w:rPr>
          <w:rFonts w:eastAsia="仿宋"/>
        </w:rPr>
      </w:pPr>
    </w:p>
    <w:p w:rsidR="00436A29" w:rsidRPr="0072511D" w:rsidRDefault="00436A29" w:rsidP="00436A29">
      <w:pPr>
        <w:spacing w:line="480" w:lineRule="exact"/>
        <w:jc w:val="center"/>
        <w:rPr>
          <w:rFonts w:eastAsia="仿宋"/>
        </w:rPr>
      </w:pPr>
    </w:p>
    <w:p w:rsidR="00436A29" w:rsidRPr="00436A29" w:rsidRDefault="00436A29" w:rsidP="00436A29">
      <w:pPr>
        <w:pBdr>
          <w:bottom w:val="single" w:sz="18" w:space="1" w:color="FF0000"/>
        </w:pBd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36A29">
        <w:rPr>
          <w:rFonts w:ascii="Times New Roman" w:eastAsia="仿宋_GB2312" w:hAnsi="Times New Roman" w:cs="Times New Roman"/>
          <w:sz w:val="32"/>
          <w:szCs w:val="32"/>
        </w:rPr>
        <w:t>召法</w:t>
      </w:r>
      <w:r w:rsidRPr="00436A29">
        <w:rPr>
          <w:rFonts w:ascii="Times New Roman" w:eastAsia="仿宋" w:hAnsi="Times New Roman" w:cs="Times New Roman"/>
          <w:sz w:val="32"/>
          <w:szCs w:val="32"/>
        </w:rPr>
        <w:t>﹝</w:t>
      </w:r>
      <w:r w:rsidRPr="00436A29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436A29">
        <w:rPr>
          <w:rFonts w:ascii="Times New Roman" w:eastAsia="仿宋" w:hAnsi="Times New Roman" w:cs="Times New Roman"/>
          <w:sz w:val="32"/>
          <w:szCs w:val="32"/>
        </w:rPr>
        <w:t>﹞</w:t>
      </w:r>
      <w:r w:rsidR="00A64FD4">
        <w:rPr>
          <w:rFonts w:ascii="Times New Roman" w:eastAsia="仿宋_GB2312" w:hAnsi="Times New Roman" w:cs="Times New Roman" w:hint="eastAsia"/>
          <w:sz w:val="32"/>
          <w:szCs w:val="32"/>
        </w:rPr>
        <w:t>46</w:t>
      </w:r>
      <w:r w:rsidRPr="00436A29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436A29" w:rsidRPr="00A80CD9" w:rsidRDefault="00436A29" w:rsidP="00436A29">
      <w:pPr>
        <w:pBdr>
          <w:bottom w:val="single" w:sz="18" w:space="1" w:color="FF0000"/>
        </w:pBdr>
        <w:spacing w:line="100" w:lineRule="exact"/>
        <w:jc w:val="center"/>
        <w:rPr>
          <w:szCs w:val="21"/>
        </w:rPr>
      </w:pPr>
    </w:p>
    <w:p w:rsidR="00436A29" w:rsidRDefault="00436A29" w:rsidP="00436A29">
      <w:pPr>
        <w:spacing w:line="680" w:lineRule="exact"/>
        <w:jc w:val="center"/>
        <w:rPr>
          <w:rFonts w:eastAsia="黑体" w:hint="eastAsia"/>
        </w:rPr>
      </w:pPr>
    </w:p>
    <w:p w:rsidR="00436A29" w:rsidRPr="00062171" w:rsidRDefault="00436A29" w:rsidP="00436A29">
      <w:pPr>
        <w:spacing w:line="680" w:lineRule="exact"/>
        <w:jc w:val="center"/>
        <w:rPr>
          <w:rFonts w:eastAsia="黑体"/>
        </w:rPr>
      </w:pPr>
    </w:p>
    <w:p w:rsidR="00436A29" w:rsidRPr="00436A29" w:rsidRDefault="00436A29" w:rsidP="00436A29">
      <w:pPr>
        <w:spacing w:line="720" w:lineRule="exact"/>
        <w:jc w:val="center"/>
        <w:rPr>
          <w:rFonts w:ascii="方正小标宋简体" w:eastAsia="方正小标宋简体" w:hAnsi="仿宋" w:hint="eastAsia"/>
          <w:sz w:val="38"/>
          <w:szCs w:val="44"/>
        </w:rPr>
      </w:pPr>
      <w:r w:rsidRPr="00436A29">
        <w:rPr>
          <w:rFonts w:ascii="方正小标宋简体" w:eastAsia="方正小标宋简体" w:hAnsi="仿宋" w:hint="eastAsia"/>
          <w:sz w:val="38"/>
          <w:szCs w:val="44"/>
        </w:rPr>
        <w:t>南召县人民法院</w:t>
      </w:r>
    </w:p>
    <w:p w:rsidR="00860F84" w:rsidRPr="00436A29" w:rsidRDefault="009264E7" w:rsidP="00436A29">
      <w:pPr>
        <w:spacing w:line="720" w:lineRule="exact"/>
        <w:jc w:val="center"/>
        <w:rPr>
          <w:rFonts w:ascii="方正小标宋简体" w:eastAsia="方正小标宋简体" w:hAnsi="仿宋"/>
          <w:sz w:val="38"/>
          <w:szCs w:val="44"/>
        </w:rPr>
      </w:pPr>
      <w:r w:rsidRPr="00436A29">
        <w:rPr>
          <w:rFonts w:ascii="方正小标宋简体" w:eastAsia="方正小标宋简体" w:hAnsi="仿宋" w:hint="eastAsia"/>
          <w:sz w:val="38"/>
          <w:szCs w:val="44"/>
        </w:rPr>
        <w:t>关于推行公开开庭、巡回法庭、庭审现场直播方式</w:t>
      </w:r>
    </w:p>
    <w:p w:rsidR="00264025" w:rsidRPr="00436A29" w:rsidRDefault="009264E7" w:rsidP="00436A29">
      <w:pPr>
        <w:spacing w:line="720" w:lineRule="exact"/>
        <w:jc w:val="center"/>
        <w:rPr>
          <w:rFonts w:ascii="方正小标宋简体" w:eastAsia="方正小标宋简体" w:hAnsi="仿宋"/>
          <w:sz w:val="38"/>
          <w:szCs w:val="44"/>
        </w:rPr>
      </w:pPr>
      <w:r w:rsidRPr="00436A29">
        <w:rPr>
          <w:rFonts w:ascii="方正小标宋简体" w:eastAsia="方正小标宋简体" w:hAnsi="仿宋" w:hint="eastAsia"/>
          <w:sz w:val="38"/>
          <w:szCs w:val="44"/>
        </w:rPr>
        <w:t>以案释法服务营商环境的</w:t>
      </w:r>
      <w:r w:rsidR="00860F84" w:rsidRPr="00436A29">
        <w:rPr>
          <w:rFonts w:ascii="方正小标宋简体" w:eastAsia="方正小标宋简体" w:hAnsi="仿宋" w:hint="eastAsia"/>
          <w:sz w:val="38"/>
          <w:szCs w:val="44"/>
        </w:rPr>
        <w:t>意见</w:t>
      </w:r>
    </w:p>
    <w:p w:rsidR="009264E7" w:rsidRPr="00436A29" w:rsidRDefault="009264E7" w:rsidP="00436A2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60F84" w:rsidRPr="0098177A" w:rsidRDefault="009264E7" w:rsidP="0098177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177A">
        <w:rPr>
          <w:rFonts w:ascii="Times New Roman" w:eastAsia="仿宋_GB2312" w:hAnsi="Times New Roman" w:cs="Times New Roman"/>
          <w:sz w:val="32"/>
          <w:szCs w:val="32"/>
        </w:rPr>
        <w:t>为了充分发挥审判职能作用，</w:t>
      </w:r>
      <w:r w:rsidR="00967CEC" w:rsidRPr="0098177A">
        <w:rPr>
          <w:rFonts w:ascii="Times New Roman" w:eastAsia="仿宋_GB2312" w:hAnsi="Times New Roman" w:cs="Times New Roman"/>
          <w:sz w:val="32"/>
          <w:szCs w:val="32"/>
        </w:rPr>
        <w:t>提供优质的法律服务，</w:t>
      </w:r>
      <w:r w:rsidR="00A00A80" w:rsidRPr="0098177A">
        <w:rPr>
          <w:rFonts w:ascii="Times New Roman" w:eastAsia="仿宋_GB2312" w:hAnsi="Times New Roman" w:cs="Times New Roman"/>
          <w:sz w:val="32"/>
          <w:szCs w:val="32"/>
        </w:rPr>
        <w:t>提升我院服务营商环境的水平，</w:t>
      </w:r>
      <w:r w:rsidR="00967CEC" w:rsidRPr="0098177A">
        <w:rPr>
          <w:rFonts w:ascii="Times New Roman" w:eastAsia="仿宋_GB2312" w:hAnsi="Times New Roman" w:cs="Times New Roman"/>
          <w:sz w:val="32"/>
          <w:szCs w:val="32"/>
        </w:rPr>
        <w:t>提高企业的司法满意度，</w:t>
      </w:r>
      <w:r w:rsidR="00A00A80" w:rsidRPr="0098177A">
        <w:rPr>
          <w:rFonts w:ascii="Times New Roman" w:eastAsia="仿宋_GB2312" w:hAnsi="Times New Roman" w:cs="Times New Roman"/>
          <w:sz w:val="32"/>
          <w:szCs w:val="32"/>
        </w:rPr>
        <w:t>特提出以下意见，请全体干警遵照执行。</w:t>
      </w:r>
    </w:p>
    <w:p w:rsidR="00860F84" w:rsidRPr="0098177A" w:rsidRDefault="006D1395" w:rsidP="0098177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177A">
        <w:rPr>
          <w:rFonts w:ascii="Times New Roman" w:eastAsia="仿宋_GB2312" w:hAnsi="Times New Roman" w:cs="Times New Roman"/>
          <w:sz w:val="32"/>
          <w:szCs w:val="32"/>
        </w:rPr>
        <w:t>一、</w:t>
      </w:r>
      <w:r w:rsidR="00860F84" w:rsidRPr="0098177A">
        <w:rPr>
          <w:rFonts w:ascii="Times New Roman" w:eastAsia="仿宋_GB2312" w:hAnsi="Times New Roman" w:cs="Times New Roman"/>
          <w:sz w:val="32"/>
          <w:szCs w:val="32"/>
        </w:rPr>
        <w:t>立案庭在立案时，对原、被告涉及公司、企业的案件进行</w:t>
      </w:r>
      <w:r w:rsidRPr="0098177A">
        <w:rPr>
          <w:rFonts w:ascii="Times New Roman" w:eastAsia="仿宋_GB2312" w:hAnsi="Times New Roman" w:cs="Times New Roman"/>
          <w:sz w:val="32"/>
          <w:szCs w:val="32"/>
        </w:rPr>
        <w:t>标注，提请审判团队</w:t>
      </w:r>
      <w:r w:rsidR="00860F84" w:rsidRPr="0098177A">
        <w:rPr>
          <w:rFonts w:ascii="Times New Roman" w:eastAsia="仿宋_GB2312" w:hAnsi="Times New Roman" w:cs="Times New Roman"/>
          <w:sz w:val="32"/>
          <w:szCs w:val="32"/>
        </w:rPr>
        <w:t>采用公开开庭、巡回法庭、庭审现场直播</w:t>
      </w:r>
      <w:r w:rsidRPr="0098177A">
        <w:rPr>
          <w:rFonts w:ascii="Times New Roman" w:eastAsia="仿宋_GB2312" w:hAnsi="Times New Roman" w:cs="Times New Roman"/>
          <w:sz w:val="32"/>
          <w:szCs w:val="32"/>
        </w:rPr>
        <w:t>等</w:t>
      </w:r>
      <w:r w:rsidR="00860F84" w:rsidRPr="0098177A">
        <w:rPr>
          <w:rFonts w:ascii="Times New Roman" w:eastAsia="仿宋_GB2312" w:hAnsi="Times New Roman" w:cs="Times New Roman"/>
          <w:sz w:val="32"/>
          <w:szCs w:val="32"/>
        </w:rPr>
        <w:t>方式</w:t>
      </w:r>
      <w:r w:rsidRPr="0098177A">
        <w:rPr>
          <w:rFonts w:ascii="Times New Roman" w:eastAsia="仿宋_GB2312" w:hAnsi="Times New Roman" w:cs="Times New Roman"/>
          <w:sz w:val="32"/>
          <w:szCs w:val="32"/>
        </w:rPr>
        <w:t>进行开庭。</w:t>
      </w:r>
    </w:p>
    <w:p w:rsidR="006D1395" w:rsidRPr="0098177A" w:rsidRDefault="006D1395" w:rsidP="0098177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177A">
        <w:rPr>
          <w:rFonts w:ascii="Times New Roman" w:eastAsia="仿宋_GB2312" w:hAnsi="Times New Roman" w:cs="Times New Roman"/>
          <w:sz w:val="32"/>
          <w:szCs w:val="32"/>
        </w:rPr>
        <w:lastRenderedPageBreak/>
        <w:t>二、各审判团队在接收到上述案件后，应积极采取公开开庭、巡回法庭、庭审现场直播方式以案释法，要求该类案件公开开庭率要达到</w:t>
      </w:r>
      <w:r w:rsidRPr="0098177A">
        <w:rPr>
          <w:rFonts w:ascii="Times New Roman" w:eastAsia="仿宋_GB2312" w:hAnsi="Times New Roman" w:cs="Times New Roman"/>
          <w:sz w:val="32"/>
          <w:szCs w:val="32"/>
        </w:rPr>
        <w:t>100%</w:t>
      </w:r>
      <w:r w:rsidRPr="0098177A">
        <w:rPr>
          <w:rFonts w:ascii="Times New Roman" w:eastAsia="仿宋_GB2312" w:hAnsi="Times New Roman" w:cs="Times New Roman"/>
          <w:sz w:val="32"/>
          <w:szCs w:val="32"/>
        </w:rPr>
        <w:t>，庭审现场直播率达到</w:t>
      </w:r>
      <w:r w:rsidRPr="0098177A">
        <w:rPr>
          <w:rFonts w:ascii="Times New Roman" w:eastAsia="仿宋_GB2312" w:hAnsi="Times New Roman" w:cs="Times New Roman"/>
          <w:sz w:val="32"/>
          <w:szCs w:val="32"/>
        </w:rPr>
        <w:t>100%</w:t>
      </w:r>
      <w:r w:rsidRPr="0098177A">
        <w:rPr>
          <w:rFonts w:ascii="Times New Roman" w:eastAsia="仿宋_GB2312" w:hAnsi="Times New Roman" w:cs="Times New Roman"/>
          <w:sz w:val="32"/>
          <w:szCs w:val="32"/>
        </w:rPr>
        <w:t>，巡回开庭次数不少于</w:t>
      </w:r>
      <w:r w:rsidR="00A00A80" w:rsidRPr="0098177A">
        <w:rPr>
          <w:rFonts w:ascii="Times New Roman" w:eastAsia="仿宋_GB2312" w:hAnsi="Times New Roman" w:cs="Times New Roman"/>
          <w:sz w:val="32"/>
          <w:szCs w:val="32"/>
        </w:rPr>
        <w:t>3</w:t>
      </w:r>
      <w:r w:rsidRPr="0098177A">
        <w:rPr>
          <w:rFonts w:ascii="Times New Roman" w:eastAsia="仿宋_GB2312" w:hAnsi="Times New Roman" w:cs="Times New Roman"/>
          <w:sz w:val="32"/>
          <w:szCs w:val="32"/>
        </w:rPr>
        <w:t>次。</w:t>
      </w:r>
    </w:p>
    <w:p w:rsidR="006D1395" w:rsidRPr="0098177A" w:rsidRDefault="006D1395" w:rsidP="0098177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177A">
        <w:rPr>
          <w:rFonts w:ascii="Times New Roman" w:eastAsia="仿宋_GB2312" w:hAnsi="Times New Roman" w:cs="Times New Roman"/>
          <w:sz w:val="32"/>
          <w:szCs w:val="32"/>
        </w:rPr>
        <w:t>三、执行团队对上述涉营商环境案件采取查封、扣押、冻结等强制执行措施时，</w:t>
      </w:r>
      <w:r w:rsidR="00A00A80" w:rsidRPr="0098177A">
        <w:rPr>
          <w:rFonts w:ascii="Times New Roman" w:eastAsia="仿宋_GB2312" w:hAnsi="Times New Roman" w:cs="Times New Roman"/>
          <w:sz w:val="32"/>
          <w:szCs w:val="32"/>
        </w:rPr>
        <w:t>要充分释法，以营造良好的涉企诉讼服务。</w:t>
      </w:r>
    </w:p>
    <w:p w:rsidR="00A00A80" w:rsidRPr="0098177A" w:rsidRDefault="00A00A80" w:rsidP="0098177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177A">
        <w:rPr>
          <w:rFonts w:ascii="Times New Roman" w:eastAsia="仿宋_GB2312" w:hAnsi="Times New Roman" w:cs="Times New Roman"/>
          <w:sz w:val="32"/>
          <w:szCs w:val="32"/>
        </w:rPr>
        <w:t>四、营商办负责收集本院该类案件的典型案例，做好存档记录，建立本院的以案释法资源库。</w:t>
      </w:r>
    </w:p>
    <w:p w:rsidR="00A00A80" w:rsidRDefault="0098177A" w:rsidP="0098177A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五、本意见自发布之日其实施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8177A" w:rsidRDefault="0098177A" w:rsidP="0098177A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98177A" w:rsidRDefault="0098177A" w:rsidP="0098177A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98177A" w:rsidRDefault="0098177A" w:rsidP="0098177A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98177A" w:rsidRPr="0098177A" w:rsidRDefault="0098177A" w:rsidP="00436A29">
      <w:pPr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98177A" w:rsidRPr="0098177A" w:rsidSect="0098177A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06FB0"/>
    <w:multiLevelType w:val="hybridMultilevel"/>
    <w:tmpl w:val="BC603342"/>
    <w:lvl w:ilvl="0" w:tplc="C6D6964E">
      <w:start w:val="1"/>
      <w:numFmt w:val="japaneseCounting"/>
      <w:lvlText w:val="%1、"/>
      <w:lvlJc w:val="left"/>
      <w:pPr>
        <w:ind w:left="1776" w:hanging="1176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4E7"/>
    <w:rsid w:val="001034E8"/>
    <w:rsid w:val="00222D6E"/>
    <w:rsid w:val="00285859"/>
    <w:rsid w:val="00352ED7"/>
    <w:rsid w:val="003C7A0D"/>
    <w:rsid w:val="003F530D"/>
    <w:rsid w:val="00430DAB"/>
    <w:rsid w:val="00436A29"/>
    <w:rsid w:val="006D1395"/>
    <w:rsid w:val="00777D65"/>
    <w:rsid w:val="00860F84"/>
    <w:rsid w:val="009264E7"/>
    <w:rsid w:val="00967CEC"/>
    <w:rsid w:val="0098177A"/>
    <w:rsid w:val="00A00A80"/>
    <w:rsid w:val="00A64FD4"/>
    <w:rsid w:val="00E1592E"/>
    <w:rsid w:val="00FD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吴罡</cp:lastModifiedBy>
  <cp:revision>2</cp:revision>
  <cp:lastPrinted>2021-03-18T09:19:00Z</cp:lastPrinted>
  <dcterms:created xsi:type="dcterms:W3CDTF">2021-03-18T09:19:00Z</dcterms:created>
  <dcterms:modified xsi:type="dcterms:W3CDTF">2021-03-18T09:19:00Z</dcterms:modified>
</cp:coreProperties>
</file>